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10" w:rsidRPr="006B3310" w:rsidRDefault="006B3310" w:rsidP="006B3310">
      <w:pPr>
        <w:rPr>
          <w:b/>
          <w:sz w:val="28"/>
          <w:szCs w:val="28"/>
        </w:rPr>
      </w:pPr>
      <w:r w:rsidRPr="006B3310">
        <w:rPr>
          <w:rFonts w:ascii="Arial Narrow" w:hAnsi="Arial Narrow"/>
          <w:b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  <w:bookmarkStart w:id="0" w:name="_GoBack"/>
            <w:bookmarkEnd w:id="0"/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B348DC" w:rsidRDefault="00B348DC">
            <w:r>
              <w:t xml:space="preserve">W celu realizacji zajęć może być zatrudniony nauczyciel, który nie realizuje w </w:t>
            </w:r>
            <w:r w:rsidR="00F664E9">
              <w:t xml:space="preserve">danej </w:t>
            </w:r>
            <w:r>
              <w:t>szkole lub placówce tygodniowego obowiązkowego wymiaru godzin zajęć dydaktycznych, wychowawczych i opiekuńczych.</w:t>
            </w:r>
          </w:p>
          <w:p w:rsidR="00B348DC" w:rsidRDefault="00B348DC">
            <w:r>
              <w:t>Wynagrodzenie wypłacane według stawki osobistego zaszeregowania nauczyciela, z uwzględnieniem dodatku za warunki pracy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 xml:space="preserve">odtwarzacz </w:t>
            </w:r>
            <w:proofErr w:type="spellStart"/>
            <w:r>
              <w:t>cd</w:t>
            </w:r>
            <w:proofErr w:type="spellEnd"/>
            <w:r>
              <w:t>/</w:t>
            </w:r>
            <w:proofErr w:type="spellStart"/>
            <w:r>
              <w:t>dvd</w:t>
            </w:r>
            <w:proofErr w:type="spellEnd"/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661" w:rsidRDefault="007E2661" w:rsidP="001B7047">
      <w:pPr>
        <w:spacing w:after="0" w:line="240" w:lineRule="auto"/>
      </w:pPr>
      <w:r>
        <w:separator/>
      </w:r>
    </w:p>
  </w:endnote>
  <w:endnote w:type="continuationSeparator" w:id="0">
    <w:p w:rsidR="007E2661" w:rsidRDefault="007E2661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661" w:rsidRDefault="007E2661" w:rsidP="001B7047">
      <w:pPr>
        <w:spacing w:after="0" w:line="240" w:lineRule="auto"/>
      </w:pPr>
      <w:r>
        <w:separator/>
      </w:r>
    </w:p>
  </w:footnote>
  <w:footnote w:type="continuationSeparator" w:id="0">
    <w:p w:rsidR="007E2661" w:rsidRDefault="007E2661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D9C"/>
    <w:rsid w:val="000048E9"/>
    <w:rsid w:val="000B2909"/>
    <w:rsid w:val="001B7047"/>
    <w:rsid w:val="001E524D"/>
    <w:rsid w:val="002D0079"/>
    <w:rsid w:val="002D4F8A"/>
    <w:rsid w:val="00316D11"/>
    <w:rsid w:val="003A34AF"/>
    <w:rsid w:val="0041219D"/>
    <w:rsid w:val="00443661"/>
    <w:rsid w:val="0049746E"/>
    <w:rsid w:val="006B3310"/>
    <w:rsid w:val="007448A9"/>
    <w:rsid w:val="00774AE1"/>
    <w:rsid w:val="007E2661"/>
    <w:rsid w:val="00830F0A"/>
    <w:rsid w:val="009C146E"/>
    <w:rsid w:val="009E4CE5"/>
    <w:rsid w:val="009E5ED7"/>
    <w:rsid w:val="00AA23BB"/>
    <w:rsid w:val="00AF2BB4"/>
    <w:rsid w:val="00B348DC"/>
    <w:rsid w:val="00B53CE4"/>
    <w:rsid w:val="00CC5BA5"/>
    <w:rsid w:val="00D35CB5"/>
    <w:rsid w:val="00DB2C6D"/>
    <w:rsid w:val="00DC302B"/>
    <w:rsid w:val="00DF6A68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66680-80F5-41D1-99EA-079AF20E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m.dudarska</cp:lastModifiedBy>
  <cp:revision>2</cp:revision>
  <dcterms:created xsi:type="dcterms:W3CDTF">2015-08-25T08:35:00Z</dcterms:created>
  <dcterms:modified xsi:type="dcterms:W3CDTF">2015-08-25T08:35:00Z</dcterms:modified>
</cp:coreProperties>
</file>